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ind w:firstLine="452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444444"/>
          <w:kern w:val="0"/>
          <w:sz w:val="30"/>
          <w:szCs w:val="30"/>
        </w:rPr>
        <w:t>四川省哲学社会科学重点研究基地</w:t>
      </w:r>
      <w:r>
        <w:rPr>
          <w:rFonts w:hint="eastAsia" w:ascii="宋体" w:hAnsi="宋体" w:eastAsia="宋体" w:cs="Arial"/>
          <w:b/>
          <w:bCs/>
          <w:color w:val="444444"/>
          <w:kern w:val="0"/>
          <w:sz w:val="30"/>
          <w:szCs w:val="30"/>
        </w:rPr>
        <w:br w:type="textWrapping"/>
      </w:r>
      <w:r>
        <w:rPr>
          <w:rFonts w:hint="eastAsia" w:ascii="宋体" w:hAnsi="宋体" w:eastAsia="宋体" w:cs="Arial"/>
          <w:b/>
          <w:bCs/>
          <w:color w:val="444444"/>
          <w:kern w:val="0"/>
          <w:sz w:val="30"/>
          <w:szCs w:val="30"/>
        </w:rPr>
        <w:t>          ----系统科学与企业发展研究中心指南</w:t>
      </w:r>
      <w:r>
        <w:rPr>
          <w:rFonts w:hint="eastAsia" w:ascii="宋体" w:hAnsi="宋体" w:eastAsia="宋体" w:cs="Arial"/>
          <w:b/>
          <w:bCs/>
          <w:color w:val="444444"/>
          <w:kern w:val="0"/>
          <w:sz w:val="30"/>
          <w:szCs w:val="30"/>
        </w:rPr>
        <w:br w:type="textWrapping"/>
      </w: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   </w:t>
      </w: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  本年度课题设重大应急课题、重点课题、后期资助课题、一般课题，课题指南为申报研究领域。根据本中心的发展需要和学术委员会决定，重大应急课题为委托课题。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spacing w:line="400" w:lineRule="atLeast"/>
        <w:ind w:firstLine="422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444444"/>
          <w:kern w:val="0"/>
          <w:sz w:val="28"/>
          <w:szCs w:val="28"/>
        </w:rPr>
        <w:t>一、重大应急项目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1、企业排行榜研究</w:t>
      </w:r>
    </w:p>
    <w:p>
      <w:pPr>
        <w:widowControl/>
        <w:shd w:val="clear" w:color="auto" w:fill="FFFFFF"/>
        <w:spacing w:line="400" w:lineRule="atLeast"/>
        <w:ind w:firstLine="422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444444"/>
          <w:kern w:val="0"/>
          <w:sz w:val="28"/>
          <w:szCs w:val="28"/>
        </w:rPr>
        <w:t>二、重点项目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2、四川大学商学史研究</w:t>
      </w:r>
    </w:p>
    <w:p>
      <w:pPr>
        <w:widowControl/>
        <w:shd w:val="clear" w:color="auto" w:fill="FFFFFF"/>
        <w:spacing w:line="400" w:lineRule="atLeast"/>
        <w:ind w:firstLine="422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444444"/>
          <w:kern w:val="0"/>
          <w:sz w:val="28"/>
          <w:szCs w:val="28"/>
        </w:rPr>
        <w:t>三、一般项目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1、科技创新驱动发展战略体系研究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2、西部中小企业软实力研究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3、创新、创业、创意研究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4、突发事件应急决策方法与应用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5、不同定价模式下节能服务外包的方法与途径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6、互联网环境下消费者有限理性、风险偏好、合作购买行为研究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7、国际化视角下企业竞争优势基础研究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8、中国企业转型的战略选择与途径研究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9、中国企业跨国与跨区域的成长机制研究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10、中国企业国际竞争力培养研究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11、基于行业发展的企业动态竞争力研究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12、构建和谐劳动关系的机理与模型研究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13、冲突管理策略和人力资源高绩效工作系统研究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14、信息化背景下的企业内部控制有效性机理研究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15、现代农业科技发展创新体系研究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16、科技型小微企业发展研究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17、生产性服务企业发展研究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18、企业社会责任价值创造机理、途径研究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19、科研课题制与科研经费管理制度改革研究</w:t>
      </w:r>
    </w:p>
    <w:p>
      <w:pPr>
        <w:widowControl/>
        <w:shd w:val="clear" w:color="auto" w:fill="FFFFFF"/>
        <w:spacing w:line="400" w:lineRule="atLeast"/>
        <w:ind w:firstLine="420"/>
        <w:jc w:val="left"/>
        <w:rPr>
          <w:rFonts w:ascii="Arial" w:hAnsi="Arial" w:eastAsia="宋体" w:cs="Arial"/>
          <w:color w:val="444444"/>
          <w:kern w:val="0"/>
          <w:szCs w:val="21"/>
        </w:rPr>
      </w:pPr>
      <w:r>
        <w:rPr>
          <w:rFonts w:hint="eastAsia" w:ascii="宋体" w:hAnsi="宋体" w:eastAsia="宋体" w:cs="Arial"/>
          <w:color w:val="444444"/>
          <w:kern w:val="0"/>
          <w:sz w:val="28"/>
          <w:szCs w:val="28"/>
        </w:rPr>
        <w:t>20、资源约束的创新驱动发展战略模式与产业结构升级研究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23B02"/>
    <w:rsid w:val="646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2022-01-13T09:33:00Z</dcterms:created>
  <dc:creator>linger</dc:creator>
  <cp:lastModifiedBy>linger</cp:lastModifiedBy>
  <dcterms:modified xsi:type="dcterms:W3CDTF">2022-01-13T09:33:09Z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165D81A398B142BE93C68EEC4AFE284C</vt:lpwstr>
  </property>
</Properties>
</file>