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ind w:firstLine="450"/>
        <w:jc w:val="both"/>
        <w:textAlignment w:val="baseline"/>
        <w:rPr>
          <w:rFonts w:hint="eastAsia" w:ascii="Segoe UI" w:hAnsi="Segoe UI" w:cs="Segoe UI"/>
          <w:sz w:val="21"/>
          <w:szCs w:val="21"/>
        </w:rPr>
      </w:pPr>
      <w:r>
        <w:rPr>
          <w:rFonts w:hint="eastAsia" w:ascii="Segoe UI" w:hAnsi="Segoe UI" w:cs="Segoe UI"/>
          <w:sz w:val="21"/>
          <w:szCs w:val="21"/>
        </w:rPr>
        <w:t>研究机构</w:t>
      </w:r>
    </w:p>
    <w:p>
      <w:pPr>
        <w:pStyle w:val="2"/>
        <w:spacing w:before="0" w:beforeAutospacing="0" w:after="0" w:afterAutospacing="0" w:line="360" w:lineRule="atLeast"/>
        <w:ind w:firstLine="450"/>
        <w:jc w:val="both"/>
        <w:textAlignment w:val="baseline"/>
        <w:rPr>
          <w:rFonts w:hint="eastAsia" w:ascii="Segoe UI" w:hAnsi="Segoe UI" w:cs="Segoe UI"/>
          <w:sz w:val="21"/>
          <w:szCs w:val="21"/>
        </w:rPr>
      </w:pP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</w:rPr>
        <w:t>主要研究机构</w:t>
      </w:r>
    </w:p>
    <w:tbl>
      <w:tblPr>
        <w:tblStyle w:val="3"/>
        <w:tblW w:w="733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6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508" w:type="dxa"/>
            <w:tcBorders>
              <w:top w:val="single" w:color="auto" w:sz="8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四川大学信息与决策研究所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四川大学软科学研究所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四川大学创新与创业管理研究所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四川大学企业危机管理研究所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四川大学信息管理与决策研究所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四川大学小微企业发展研究所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四川大学现代企业管理技术与可持续发展研究所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四川大学应急管理与灾后重建研究所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tcBorders>
              <w:top w:val="outset" w:color="000000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508" w:type="dxa"/>
            <w:tcBorders>
              <w:top w:val="outset" w:color="000000" w:sz="2" w:space="0"/>
              <w:left w:val="outset" w:color="000000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四川大学循环经济研究所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14B2"/>
    <w:rsid w:val="536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2022-01-13T09:31:00Z</dcterms:created>
  <dc:creator>linger</dc:creator>
  <cp:lastModifiedBy>linger</cp:lastModifiedBy>
  <dcterms:modified xsi:type="dcterms:W3CDTF">2022-01-13T09:31:29Z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CFB8C70A059643D1AE1D9D1B3C5CC300</vt:lpwstr>
  </property>
</Properties>
</file>